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53" w:rsidRPr="007D4B53" w:rsidRDefault="007D4B53" w:rsidP="007D4B53">
      <w:pPr>
        <w:pBdr>
          <w:bottom w:val="single" w:sz="12" w:space="0" w:color="2F5C93"/>
        </w:pBdr>
        <w:shd w:val="clear" w:color="auto" w:fill="FFFFFF"/>
        <w:spacing w:before="80" w:after="8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r w:rsidRPr="007D4B53"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  <w:t>За качели на детской площадке ответственна управляющая компания</w:t>
      </w:r>
    </w:p>
    <w:p w:rsidR="007D4B53" w:rsidRPr="007D4B53" w:rsidRDefault="007D4B53" w:rsidP="007D4B5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D4B53" w:rsidRPr="007D4B53" w:rsidRDefault="007D4B53" w:rsidP="007D4B53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Зачастую детские площадки во дворах жилых домов не отвечают предъявляемым требованиям, нередки случаи получения детьми травм при использовании оборудования таких площадок. Недостатками конструкций игровых площадок могут быть опасные выступы в зоне приземления, шероховатая поверхность конструкций, посторонние предметы, неисправность, выступающие концы гвоздей, отсутствие стока воды и другие.</w:t>
      </w:r>
    </w:p>
    <w:p w:rsidR="007D4B53" w:rsidRPr="007D4B53" w:rsidRDefault="007D4B53" w:rsidP="007D4B5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оборудованию детских площадок законодательством предъявляются определенные требования, направленные на защиту жизни или здоровья граждан.</w:t>
      </w:r>
    </w:p>
    <w:p w:rsidR="007D4B53" w:rsidRPr="007D4B53" w:rsidRDefault="007D4B53" w:rsidP="007D4B5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Такие требования установлены ГОСТ </w:t>
      </w:r>
      <w:proofErr w:type="gramStart"/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</w:t>
      </w:r>
      <w:proofErr w:type="gramEnd"/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52169-2012 «Оборудование и покрытие детских игровых площадок. Безопасность при эксплуатации. Общие требования», предусматривающим, что оборудование и элементы оборудования должны соответствовать общим требованиям безопасности и мерам защиты, соответствовать возрастной группе детей, для которой они предназначены; быть такими, чтобы риск, предполагаемый в игре, был явным для </w:t>
      </w:r>
      <w:proofErr w:type="gramStart"/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ребенка</w:t>
      </w:r>
      <w:proofErr w:type="gramEnd"/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и он мог его предвидеть, обеспечивать доступ взрослых для помощи детям внутри оборудования и т.д.</w:t>
      </w:r>
    </w:p>
    <w:p w:rsidR="007D4B53" w:rsidRPr="007D4B53" w:rsidRDefault="007D4B53" w:rsidP="007D4B5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Жилищным законодательством установлено,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 Детские площадки, расположенные в границах земельного участка, на котором расположен многоквартирный дом, включаются в состав общего имущества многоквартирного дома.</w:t>
      </w:r>
    </w:p>
    <w:p w:rsidR="007D4B53" w:rsidRPr="007D4B53" w:rsidRDefault="007D4B53" w:rsidP="007D4B5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Земельный участок с элементами озеленения и благоустройства, на котором расположен многоквартирный дом, принадлежит на праве общей долевой собственности собственникам помещений в доме.</w:t>
      </w:r>
    </w:p>
    <w:p w:rsidR="007D4B53" w:rsidRPr="007D4B53" w:rsidRDefault="007D4B53" w:rsidP="007D4B5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Таким образом, содержание элементов благоустройства в границах придомовой территории относится к обязанностям лица, осуществляющего управление домом, независимо от того, упомянуты ли они в договоре и имеется ли по вопросу их выполнения решение общего собрания собственников помещений в жилом доме.</w:t>
      </w:r>
    </w:p>
    <w:p w:rsidR="007D4B53" w:rsidRPr="007D4B53" w:rsidRDefault="007D4B53" w:rsidP="007D4B53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Такая позиция основана на законодательстве и нашла отражение </w:t>
      </w:r>
      <w:hyperlink r:id="rId4" w:history="1">
        <w:r w:rsidRPr="007D4B53">
          <w:rPr>
            <w:rFonts w:ascii="Arial" w:eastAsia="Times New Roman" w:hAnsi="Arial" w:cs="Arial"/>
            <w:color w:val="2F5C93"/>
            <w:sz w:val="14"/>
            <w:u w:val="single"/>
            <w:lang w:eastAsia="ru-RU"/>
          </w:rPr>
          <w:t>в определении Верховного суда Российской Федерации от 25.08.2020 № 303-ЭС20-11665</w:t>
        </w:r>
      </w:hyperlink>
      <w:r w:rsidRPr="007D4B5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4F676D" w:rsidRDefault="004F676D"/>
    <w:sectPr w:rsidR="004F676D" w:rsidSect="004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D4B53"/>
    <w:rsid w:val="004F676D"/>
    <w:rsid w:val="007D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6D"/>
  </w:style>
  <w:style w:type="paragraph" w:styleId="1">
    <w:name w:val="heading 1"/>
    <w:basedOn w:val="a"/>
    <w:link w:val="10"/>
    <w:uiPriority w:val="9"/>
    <w:qFormat/>
    <w:rsid w:val="007D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4B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469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2020-12-08T15:09:00Z</dcterms:created>
  <dcterms:modified xsi:type="dcterms:W3CDTF">2020-12-08T15:10:00Z</dcterms:modified>
</cp:coreProperties>
</file>